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для проведения практических занятий, приспособленных для использования инвалидами и лицами с ограниченными возможностями здоровья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Имеются групповые помещение для детей с ОВЗ с нарушениями опорно-двигательного аппарата.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Имеются групповые помещение для детей с ОВЗ с нарушениями развития речи.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